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B6" w:rsidRPr="001303DE" w:rsidRDefault="000E2DC4" w:rsidP="000C07B6">
      <w:pPr>
        <w:rPr>
          <w:b/>
          <w:sz w:val="24"/>
          <w:szCs w:val="24"/>
        </w:rPr>
      </w:pPr>
      <w:r w:rsidRPr="001303DE">
        <w:rPr>
          <w:b/>
          <w:sz w:val="24"/>
          <w:szCs w:val="24"/>
        </w:rPr>
        <w:t>Diversity in Higher Education</w:t>
      </w:r>
      <w:bookmarkStart w:id="0" w:name="_GoBack"/>
      <w:bookmarkEnd w:id="0"/>
      <w:r w:rsidR="000C07B6" w:rsidRPr="001303DE">
        <w:rPr>
          <w:b/>
          <w:sz w:val="24"/>
          <w:szCs w:val="24"/>
        </w:rPr>
        <w:t xml:space="preserve">: </w:t>
      </w:r>
      <w:r w:rsidR="006549C3" w:rsidRPr="001303DE">
        <w:rPr>
          <w:b/>
          <w:sz w:val="24"/>
          <w:szCs w:val="24"/>
        </w:rPr>
        <w:t>Pre-session task</w:t>
      </w:r>
      <w:r w:rsidR="000C07B6" w:rsidRPr="001303DE">
        <w:rPr>
          <w:b/>
        </w:rPr>
        <w:t xml:space="preserve"> </w:t>
      </w:r>
      <w:r w:rsidR="000C07B6" w:rsidRPr="001303DE">
        <w:rPr>
          <w:b/>
          <w:sz w:val="24"/>
          <w:szCs w:val="24"/>
        </w:rPr>
        <w:t xml:space="preserve">for </w:t>
      </w:r>
      <w:r w:rsidR="0035375E" w:rsidRPr="001303DE">
        <w:rPr>
          <w:b/>
          <w:sz w:val="24"/>
          <w:szCs w:val="24"/>
        </w:rPr>
        <w:t xml:space="preserve">Pre-sessional </w:t>
      </w:r>
      <w:r w:rsidR="000C07B6" w:rsidRPr="001303DE">
        <w:rPr>
          <w:b/>
          <w:sz w:val="24"/>
          <w:szCs w:val="24"/>
        </w:rPr>
        <w:t xml:space="preserve">Teaching Staff </w:t>
      </w:r>
    </w:p>
    <w:p w:rsidR="000C07B6" w:rsidRPr="000C07B6" w:rsidRDefault="000C07B6" w:rsidP="000C07B6">
      <w:pPr>
        <w:rPr>
          <w:b/>
          <w:color w:val="0070C0"/>
          <w:sz w:val="24"/>
          <w:szCs w:val="24"/>
        </w:rPr>
      </w:pPr>
      <w:r w:rsidRPr="000C07B6">
        <w:rPr>
          <w:b/>
          <w:color w:val="0070C0"/>
          <w:sz w:val="24"/>
          <w:szCs w:val="24"/>
        </w:rPr>
        <w:t>Pre-session tasks:</w:t>
      </w:r>
    </w:p>
    <w:p w:rsidR="000C07B6" w:rsidRPr="00D346A3" w:rsidRDefault="000C07B6" w:rsidP="00D346A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4"/>
          <w:szCs w:val="24"/>
        </w:rPr>
      </w:pPr>
      <w:r w:rsidRPr="00D346A3">
        <w:rPr>
          <w:b/>
          <w:color w:val="0070C0"/>
          <w:sz w:val="24"/>
          <w:szCs w:val="24"/>
        </w:rPr>
        <w:t>Unconscious Bias Tests</w:t>
      </w:r>
    </w:p>
    <w:p w:rsidR="004515E8" w:rsidRPr="000E2DC4" w:rsidRDefault="004515E8" w:rsidP="000E2DC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4"/>
          <w:szCs w:val="24"/>
        </w:rPr>
      </w:pPr>
      <w:r w:rsidRPr="000E2DC4">
        <w:rPr>
          <w:b/>
          <w:color w:val="0070C0"/>
          <w:sz w:val="24"/>
          <w:szCs w:val="24"/>
        </w:rPr>
        <w:t>Your Cultural Identity in the classroom: Questions to think about</w:t>
      </w:r>
    </w:p>
    <w:p w:rsidR="004515E8" w:rsidRPr="000E2DC4" w:rsidRDefault="00D346A3" w:rsidP="000E2DC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Optional reading</w:t>
      </w:r>
    </w:p>
    <w:p w:rsidR="000C07B6" w:rsidRPr="00E72DF1" w:rsidRDefault="00E72DF1" w:rsidP="000E2DC4">
      <w:pPr>
        <w:contextualSpacing/>
        <w:rPr>
          <w:b/>
          <w:color w:val="0070C0"/>
          <w:sz w:val="24"/>
          <w:szCs w:val="24"/>
        </w:rPr>
      </w:pPr>
      <w:r w:rsidRPr="00E72DF1">
        <w:rPr>
          <w:b/>
          <w:color w:val="0070C0"/>
          <w:sz w:val="24"/>
          <w:szCs w:val="24"/>
        </w:rPr>
        <w:t>Teacher identity</w:t>
      </w:r>
      <w:r w:rsidR="001303DE">
        <w:rPr>
          <w:b/>
          <w:color w:val="0070C0"/>
          <w:sz w:val="24"/>
          <w:szCs w:val="24"/>
        </w:rPr>
        <w:t>:</w:t>
      </w:r>
      <w:r>
        <w:rPr>
          <w:b/>
          <w:color w:val="0070C0"/>
          <w:sz w:val="24"/>
          <w:szCs w:val="24"/>
        </w:rPr>
        <w:t xml:space="preserve"> </w:t>
      </w:r>
    </w:p>
    <w:p w:rsidR="004515E8" w:rsidRDefault="004515E8" w:rsidP="0035375E">
      <w:pPr>
        <w:pStyle w:val="ListParagraph"/>
        <w:numPr>
          <w:ilvl w:val="0"/>
          <w:numId w:val="7"/>
        </w:numPr>
      </w:pPr>
      <w:r w:rsidRPr="00D346A3">
        <w:rPr>
          <w:b/>
        </w:rPr>
        <w:t>Harvard University Unconscious Bias Tests:</w:t>
      </w:r>
      <w:r w:rsidRPr="004515E8">
        <w:t xml:space="preserve"> </w:t>
      </w:r>
      <w:r w:rsidR="000E2DC4">
        <w:t xml:space="preserve">The purpose of this task is to think about the extent to which we as teachers are aware of our own biases. </w:t>
      </w:r>
      <w:r>
        <w:t xml:space="preserve">Do at least one before the session. Each one takes about 5 minutes. </w:t>
      </w:r>
      <w:proofErr w:type="gramStart"/>
      <w:r>
        <w:t>You’ll</w:t>
      </w:r>
      <w:proofErr w:type="gramEnd"/>
      <w:r>
        <w:t xml:space="preserve"> notice that some are US-focused, while others, e.g. ‘Disability’ (at the bottom of the list), race and gender are more universally relevant. </w:t>
      </w:r>
      <w:r w:rsidRPr="00D346A3">
        <w:rPr>
          <w:u w:val="single"/>
        </w:rPr>
        <w:t xml:space="preserve">NB While we will discuss how useful/ accurate the tests are, you </w:t>
      </w:r>
      <w:proofErr w:type="gramStart"/>
      <w:r w:rsidRPr="00D346A3">
        <w:rPr>
          <w:u w:val="single"/>
        </w:rPr>
        <w:t>will not be asked</w:t>
      </w:r>
      <w:proofErr w:type="gramEnd"/>
      <w:r w:rsidRPr="00D346A3">
        <w:rPr>
          <w:u w:val="single"/>
        </w:rPr>
        <w:t xml:space="preserve"> to reveal your results</w:t>
      </w:r>
      <w:r w:rsidRPr="004515E8">
        <w:t>.</w:t>
      </w:r>
      <w:r>
        <w:t xml:space="preserve"> </w:t>
      </w:r>
    </w:p>
    <w:p w:rsidR="004515E8" w:rsidRDefault="0035375E" w:rsidP="0035375E">
      <w:pPr>
        <w:contextualSpacing/>
        <w:rPr>
          <w:rStyle w:val="Hyperlink"/>
        </w:rPr>
      </w:pPr>
      <w:r w:rsidRPr="0035375E">
        <w:t>Project Implicit: Harvard Unconscious Bias Tests</w:t>
      </w:r>
      <w:r>
        <w:t xml:space="preserve"> </w:t>
      </w:r>
      <w:hyperlink r:id="rId7" w:history="1">
        <w:r w:rsidRPr="00284101">
          <w:rPr>
            <w:rStyle w:val="Hyperlink"/>
          </w:rPr>
          <w:t>https://implicit.harvard.edu/implicit/takeatest.html</w:t>
        </w:r>
      </w:hyperlink>
    </w:p>
    <w:p w:rsidR="0035375E" w:rsidRDefault="0035375E" w:rsidP="0035375E">
      <w:pPr>
        <w:contextualSpacing/>
      </w:pPr>
    </w:p>
    <w:p w:rsidR="004515E8" w:rsidRPr="00D346A3" w:rsidRDefault="004515E8" w:rsidP="00D346A3">
      <w:pPr>
        <w:pStyle w:val="ListParagraph"/>
        <w:numPr>
          <w:ilvl w:val="0"/>
          <w:numId w:val="7"/>
        </w:numPr>
        <w:rPr>
          <w:b/>
        </w:rPr>
      </w:pPr>
      <w:r w:rsidRPr="00D346A3">
        <w:rPr>
          <w:b/>
        </w:rPr>
        <w:t xml:space="preserve">Your Cultural Identity in the classroom: </w:t>
      </w:r>
      <w:r w:rsidR="000E2DC4" w:rsidRPr="00D346A3">
        <w:rPr>
          <w:b/>
        </w:rPr>
        <w:t>8</w:t>
      </w:r>
      <w:r w:rsidRPr="00D346A3">
        <w:rPr>
          <w:b/>
        </w:rPr>
        <w:t xml:space="preserve"> Questions to think about</w:t>
      </w:r>
    </w:p>
    <w:p w:rsidR="004515E8" w:rsidRDefault="004515E8" w:rsidP="004515E8">
      <w:pPr>
        <w:pStyle w:val="ListParagraph"/>
      </w:pPr>
    </w:p>
    <w:p w:rsidR="004515E8" w:rsidRDefault="004515E8" w:rsidP="004515E8">
      <w:pPr>
        <w:pStyle w:val="ListParagraph"/>
        <w:numPr>
          <w:ilvl w:val="0"/>
          <w:numId w:val="3"/>
        </w:numPr>
      </w:pPr>
      <w:r>
        <w:t>Our students will hear many different accents and varieties of L1 or L2 English</w:t>
      </w:r>
      <w:r w:rsidR="0098375D">
        <w:t xml:space="preserve"> and encounter different teaching approaches</w:t>
      </w:r>
      <w:r>
        <w:t xml:space="preserve"> during their academic careers and in their future professional lives.  </w:t>
      </w:r>
      <w:r w:rsidR="0098375D">
        <w:t xml:space="preserve">The following questions </w:t>
      </w:r>
      <w:proofErr w:type="gramStart"/>
      <w:r w:rsidR="0098375D">
        <w:t>are intended</w:t>
      </w:r>
      <w:proofErr w:type="gramEnd"/>
      <w:r w:rsidR="0098375D">
        <w:t xml:space="preserve"> to help you to think about your own cultural identity and cultural influences on your teaching.</w:t>
      </w:r>
    </w:p>
    <w:p w:rsidR="004515E8" w:rsidRDefault="004515E8" w:rsidP="004515E8">
      <w:pPr>
        <w:pStyle w:val="ListParagraph"/>
      </w:pPr>
    </w:p>
    <w:p w:rsidR="004515E8" w:rsidRDefault="004515E8" w:rsidP="004515E8">
      <w:pPr>
        <w:pStyle w:val="ListParagraph"/>
        <w:numPr>
          <w:ilvl w:val="0"/>
          <w:numId w:val="4"/>
        </w:numPr>
      </w:pPr>
      <w:r>
        <w:t xml:space="preserve">If you use another accent or a different variety of your first language besides the one you use at home, in which contexts do you use </w:t>
      </w:r>
      <w:proofErr w:type="gramStart"/>
      <w:r>
        <w:t>it?</w:t>
      </w:r>
      <w:proofErr w:type="gramEnd"/>
      <w:r>
        <w:t xml:space="preserve"> (Please give details.)</w:t>
      </w:r>
    </w:p>
    <w:p w:rsidR="004515E8" w:rsidRDefault="004515E8" w:rsidP="004515E8">
      <w:pPr>
        <w:pStyle w:val="ListParagraph"/>
        <w:ind w:left="1080"/>
      </w:pPr>
    </w:p>
    <w:p w:rsidR="004515E8" w:rsidRDefault="0098375D" w:rsidP="0098375D">
      <w:pPr>
        <w:pStyle w:val="ListParagraph"/>
        <w:numPr>
          <w:ilvl w:val="0"/>
          <w:numId w:val="4"/>
        </w:numPr>
      </w:pPr>
      <w:r>
        <w:t xml:space="preserve">Thinking about </w:t>
      </w:r>
      <w:r w:rsidR="004515E8">
        <w:t>the accent or language variety that you speak at home or with friends</w:t>
      </w:r>
      <w:r>
        <w:t>,</w:t>
      </w:r>
      <w:r w:rsidR="004515E8">
        <w:t xml:space="preserve"> </w:t>
      </w:r>
      <w:r w:rsidR="006B185B">
        <w:t xml:space="preserve">tick </w:t>
      </w:r>
      <w:r w:rsidR="006B185B">
        <w:rPr>
          <w:rFonts w:cstheme="minorHAnsi"/>
        </w:rPr>
        <w:t>√</w:t>
      </w:r>
      <w:r w:rsidR="006B185B">
        <w:t xml:space="preserve"> </w:t>
      </w:r>
      <w:r>
        <w:t>the level of prestige</w:t>
      </w:r>
      <w:r w:rsidR="006B185B">
        <w:t xml:space="preserve"> generally associated with it</w:t>
      </w:r>
      <w:r>
        <w:t>:</w:t>
      </w:r>
    </w:p>
    <w:p w:rsidR="0098375D" w:rsidRDefault="0098375D" w:rsidP="0098375D">
      <w:pPr>
        <w:pStyle w:val="ListParagraph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11"/>
        <w:gridCol w:w="1111"/>
        <w:gridCol w:w="623"/>
        <w:gridCol w:w="2253"/>
        <w:gridCol w:w="850"/>
        <w:gridCol w:w="1129"/>
        <w:gridCol w:w="1359"/>
      </w:tblGrid>
      <w:tr w:rsidR="0098375D" w:rsidTr="0098375D">
        <w:tc>
          <w:tcPr>
            <w:tcW w:w="612" w:type="dxa"/>
          </w:tcPr>
          <w:p w:rsidR="0098375D" w:rsidRDefault="0098375D" w:rsidP="0098375D">
            <w:pPr>
              <w:pStyle w:val="ListParagraph"/>
              <w:ind w:left="0"/>
            </w:pPr>
            <w:r>
              <w:t xml:space="preserve">Low </w:t>
            </w:r>
          </w:p>
        </w:tc>
        <w:tc>
          <w:tcPr>
            <w:tcW w:w="1099" w:type="dxa"/>
          </w:tcPr>
          <w:p w:rsidR="0098375D" w:rsidRDefault="0098375D" w:rsidP="0098375D">
            <w:pPr>
              <w:pStyle w:val="ListParagraph"/>
              <w:ind w:left="0"/>
            </w:pPr>
            <w:r>
              <w:t xml:space="preserve">Moderate </w:t>
            </w:r>
          </w:p>
        </w:tc>
        <w:tc>
          <w:tcPr>
            <w:tcW w:w="606" w:type="dxa"/>
          </w:tcPr>
          <w:p w:rsidR="0098375D" w:rsidRDefault="0098375D" w:rsidP="0098375D">
            <w:pPr>
              <w:pStyle w:val="ListParagraph"/>
              <w:ind w:left="0"/>
            </w:pPr>
            <w:r>
              <w:t>High</w:t>
            </w:r>
          </w:p>
        </w:tc>
        <w:tc>
          <w:tcPr>
            <w:tcW w:w="2268" w:type="dxa"/>
          </w:tcPr>
          <w:p w:rsidR="0098375D" w:rsidRDefault="0098375D" w:rsidP="0098375D">
            <w:pPr>
              <w:pStyle w:val="ListParagraph"/>
              <w:ind w:left="0"/>
            </w:pPr>
            <w:r>
              <w:t>Perceived as high by its speakers, low by non-speakers</w:t>
            </w:r>
          </w:p>
        </w:tc>
        <w:tc>
          <w:tcPr>
            <w:tcW w:w="851" w:type="dxa"/>
          </w:tcPr>
          <w:p w:rsidR="0098375D" w:rsidRDefault="0098375D" w:rsidP="0098375D">
            <w:pPr>
              <w:pStyle w:val="ListParagraph"/>
              <w:ind w:left="0"/>
            </w:pPr>
            <w:r>
              <w:t>Other</w:t>
            </w:r>
          </w:p>
        </w:tc>
        <w:tc>
          <w:tcPr>
            <w:tcW w:w="1134" w:type="dxa"/>
          </w:tcPr>
          <w:p w:rsidR="0098375D" w:rsidRDefault="0098375D" w:rsidP="0098375D">
            <w:pPr>
              <w:pStyle w:val="ListParagraph"/>
              <w:ind w:left="0"/>
            </w:pPr>
            <w:r>
              <w:t>Don’t know</w:t>
            </w:r>
          </w:p>
        </w:tc>
        <w:tc>
          <w:tcPr>
            <w:tcW w:w="1366" w:type="dxa"/>
          </w:tcPr>
          <w:p w:rsidR="0098375D" w:rsidRDefault="0098375D" w:rsidP="0098375D">
            <w:pPr>
              <w:pStyle w:val="ListParagraph"/>
              <w:ind w:left="0"/>
            </w:pPr>
            <w:r>
              <w:t>Prefer not to say</w:t>
            </w:r>
          </w:p>
        </w:tc>
      </w:tr>
      <w:tr w:rsidR="0098375D" w:rsidTr="0098375D">
        <w:tc>
          <w:tcPr>
            <w:tcW w:w="612" w:type="dxa"/>
          </w:tcPr>
          <w:p w:rsidR="0098375D" w:rsidRDefault="0098375D" w:rsidP="0098375D">
            <w:pPr>
              <w:pStyle w:val="ListParagraph"/>
              <w:ind w:left="0"/>
            </w:pPr>
          </w:p>
        </w:tc>
        <w:tc>
          <w:tcPr>
            <w:tcW w:w="1099" w:type="dxa"/>
          </w:tcPr>
          <w:p w:rsidR="0098375D" w:rsidRDefault="0098375D" w:rsidP="0098375D">
            <w:pPr>
              <w:pStyle w:val="ListParagraph"/>
              <w:ind w:left="0"/>
            </w:pPr>
          </w:p>
        </w:tc>
        <w:tc>
          <w:tcPr>
            <w:tcW w:w="606" w:type="dxa"/>
          </w:tcPr>
          <w:p w:rsidR="0098375D" w:rsidRDefault="0098375D" w:rsidP="0098375D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98375D" w:rsidRDefault="0098375D" w:rsidP="0098375D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98375D" w:rsidRDefault="0098375D" w:rsidP="0098375D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98375D" w:rsidRDefault="0098375D" w:rsidP="0098375D">
            <w:pPr>
              <w:pStyle w:val="ListParagraph"/>
              <w:ind w:left="0"/>
            </w:pPr>
          </w:p>
        </w:tc>
        <w:tc>
          <w:tcPr>
            <w:tcW w:w="1366" w:type="dxa"/>
          </w:tcPr>
          <w:p w:rsidR="0098375D" w:rsidRDefault="0098375D" w:rsidP="0098375D">
            <w:pPr>
              <w:pStyle w:val="ListParagraph"/>
              <w:ind w:left="0"/>
            </w:pPr>
          </w:p>
        </w:tc>
      </w:tr>
    </w:tbl>
    <w:p w:rsidR="004515E8" w:rsidRDefault="004515E8" w:rsidP="0098375D"/>
    <w:p w:rsidR="004515E8" w:rsidRDefault="004515E8" w:rsidP="004515E8">
      <w:pPr>
        <w:pStyle w:val="ListParagraph"/>
      </w:pPr>
      <w:r>
        <w:t>c) Can you explain your answer?</w:t>
      </w:r>
    </w:p>
    <w:p w:rsidR="004515E8" w:rsidRDefault="004515E8" w:rsidP="004515E8">
      <w:pPr>
        <w:pStyle w:val="ListParagraph"/>
      </w:pPr>
    </w:p>
    <w:p w:rsidR="004515E8" w:rsidRDefault="004515E8" w:rsidP="000E2DC4">
      <w:pPr>
        <w:pStyle w:val="ListParagraph"/>
        <w:numPr>
          <w:ilvl w:val="0"/>
          <w:numId w:val="3"/>
        </w:numPr>
      </w:pPr>
      <w:r>
        <w:t xml:space="preserve">Is the accent or variety of English </w:t>
      </w:r>
      <w:r w:rsidR="0098375D">
        <w:t>you use</w:t>
      </w:r>
      <w:r>
        <w:t xml:space="preserve"> when teaching important? Why? / Why not?  </w:t>
      </w:r>
    </w:p>
    <w:p w:rsidR="001303DE" w:rsidRDefault="001303DE" w:rsidP="001303DE">
      <w:pPr>
        <w:pStyle w:val="ListParagraph"/>
      </w:pPr>
    </w:p>
    <w:p w:rsidR="004515E8" w:rsidRDefault="004515E8" w:rsidP="001303DE">
      <w:pPr>
        <w:pStyle w:val="ListParagraph"/>
      </w:pPr>
      <w:r>
        <w:t>………………………………………………………………………………………………………………………………………………</w:t>
      </w:r>
    </w:p>
    <w:p w:rsidR="001303DE" w:rsidRDefault="001303DE" w:rsidP="001303DE">
      <w:pPr>
        <w:pStyle w:val="ListParagraph"/>
      </w:pPr>
    </w:p>
    <w:p w:rsidR="004515E8" w:rsidRDefault="004515E8" w:rsidP="004515E8">
      <w:pPr>
        <w:pStyle w:val="ListParagraph"/>
        <w:numPr>
          <w:ilvl w:val="0"/>
          <w:numId w:val="3"/>
        </w:numPr>
      </w:pPr>
      <w:r>
        <w:t xml:space="preserve">Which type of discourse did you mostly experience when </w:t>
      </w:r>
      <w:r w:rsidRPr="001955D1">
        <w:rPr>
          <w:i/>
        </w:rPr>
        <w:t>you</w:t>
      </w:r>
      <w:r>
        <w:t xml:space="preserve"> were a student: ‘authoritative’ (the lecturer spoke, we listened) or ‘persuasive’ (lecturers directed us towards sources of information and enabled us to reach our own conclusions) (Bakhtin, 1981)?</w:t>
      </w:r>
    </w:p>
    <w:p w:rsidR="00E72DF1" w:rsidRDefault="00E72DF1" w:rsidP="001303DE">
      <w:r w:rsidRPr="001303DE">
        <w:rPr>
          <w:b/>
          <w:color w:val="0070C0"/>
          <w:sz w:val="24"/>
          <w:szCs w:val="24"/>
        </w:rPr>
        <w:lastRenderedPageBreak/>
        <w:t>Teaching practice</w:t>
      </w:r>
      <w:r w:rsidR="001303DE">
        <w:rPr>
          <w:b/>
          <w:color w:val="0070C0"/>
          <w:sz w:val="24"/>
          <w:szCs w:val="24"/>
        </w:rPr>
        <w:t>:</w:t>
      </w:r>
    </w:p>
    <w:p w:rsidR="004515E8" w:rsidRDefault="00E72DF1" w:rsidP="004515E8">
      <w:pPr>
        <w:pStyle w:val="ListParagraph"/>
        <w:numPr>
          <w:ilvl w:val="0"/>
          <w:numId w:val="3"/>
        </w:numPr>
      </w:pPr>
      <w:r>
        <w:t>How have your</w:t>
      </w:r>
      <w:r w:rsidR="004515E8">
        <w:t xml:space="preserve"> </w:t>
      </w:r>
      <w:r>
        <w:t xml:space="preserve">student </w:t>
      </w:r>
      <w:r w:rsidR="004515E8">
        <w:t>experience</w:t>
      </w:r>
      <w:r>
        <w:t>s (e.g. Q3)</w:t>
      </w:r>
      <w:r w:rsidR="004515E8">
        <w:t xml:space="preserve"> influenced </w:t>
      </w:r>
      <w:r w:rsidR="004515E8" w:rsidRPr="001955D1">
        <w:rPr>
          <w:i/>
        </w:rPr>
        <w:t>your</w:t>
      </w:r>
      <w:r>
        <w:t xml:space="preserve"> teaching, if at all</w:t>
      </w:r>
      <w:r w:rsidR="004515E8">
        <w:t>?</w:t>
      </w:r>
    </w:p>
    <w:p w:rsidR="004515E8" w:rsidRDefault="004515E8" w:rsidP="004515E8">
      <w:pPr>
        <w:pStyle w:val="ListParagraph"/>
      </w:pPr>
    </w:p>
    <w:p w:rsidR="004515E8" w:rsidRDefault="00E72DF1" w:rsidP="004515E8">
      <w:pPr>
        <w:pStyle w:val="ListParagraph"/>
        <w:numPr>
          <w:ilvl w:val="0"/>
          <w:numId w:val="3"/>
        </w:numPr>
      </w:pPr>
      <w:r>
        <w:t xml:space="preserve">Which communication style </w:t>
      </w:r>
      <w:r w:rsidR="004515E8">
        <w:t xml:space="preserve">best describes your interaction with </w:t>
      </w:r>
      <w:r w:rsidR="004515E8" w:rsidRPr="00B428F3">
        <w:t>students?</w:t>
      </w:r>
      <w:r w:rsidR="004515E8" w:rsidRPr="00FE4A3B">
        <w:t xml:space="preserve"> </w:t>
      </w:r>
      <w:r w:rsidR="004515E8">
        <w:t>(Ting-Toomey, 1999)</w:t>
      </w:r>
    </w:p>
    <w:p w:rsidR="004515E8" w:rsidRDefault="004515E8" w:rsidP="004515E8">
      <w:pPr>
        <w:pStyle w:val="ListParagraph"/>
        <w:numPr>
          <w:ilvl w:val="0"/>
          <w:numId w:val="5"/>
        </w:numPr>
      </w:pPr>
      <w:r w:rsidRPr="00B428F3">
        <w:t>Person-oriented: individual-centred, emphasis on informality &amp; role suspension – symmetrical interaction; lecturer + student use first names</w:t>
      </w:r>
    </w:p>
    <w:p w:rsidR="004515E8" w:rsidRDefault="004515E8" w:rsidP="004515E8">
      <w:pPr>
        <w:pStyle w:val="ListParagraph"/>
        <w:numPr>
          <w:ilvl w:val="0"/>
          <w:numId w:val="5"/>
        </w:numPr>
      </w:pPr>
      <w:r w:rsidRPr="00B428F3">
        <w:t>Status-oriented: role-centred, emphasis on formality &amp; large power distance, asymmetrical interaction; use of titles to indicate difference in status</w:t>
      </w:r>
      <w:r>
        <w:t xml:space="preserve"> </w:t>
      </w:r>
    </w:p>
    <w:p w:rsidR="00E72DF1" w:rsidRDefault="00E72DF1" w:rsidP="004515E8">
      <w:pPr>
        <w:pStyle w:val="ListParagraph"/>
        <w:numPr>
          <w:ilvl w:val="0"/>
          <w:numId w:val="5"/>
        </w:numPr>
      </w:pPr>
      <w:r>
        <w:t>Other?</w:t>
      </w:r>
    </w:p>
    <w:p w:rsidR="004515E8" w:rsidRDefault="004515E8" w:rsidP="004515E8">
      <w:pPr>
        <w:pStyle w:val="ListParagraph"/>
        <w:ind w:left="1134"/>
      </w:pPr>
      <w:r>
        <w:t xml:space="preserve">  </w:t>
      </w:r>
    </w:p>
    <w:p w:rsidR="004515E8" w:rsidRDefault="004515E8" w:rsidP="004515E8">
      <w:pPr>
        <w:pStyle w:val="ListParagraph"/>
        <w:numPr>
          <w:ilvl w:val="0"/>
          <w:numId w:val="3"/>
        </w:numPr>
      </w:pPr>
      <w:r>
        <w:t>Have you ever adjusted</w:t>
      </w:r>
      <w:r w:rsidRPr="00E60FCD">
        <w:t xml:space="preserve"> </w:t>
      </w:r>
      <w:r>
        <w:t xml:space="preserve">your teaching approach based on the previous academic culture of your students?                        </w:t>
      </w:r>
    </w:p>
    <w:p w:rsidR="004515E8" w:rsidRDefault="004515E8" w:rsidP="004515E8">
      <w:pPr>
        <w:pStyle w:val="ListParagraph"/>
      </w:pPr>
    </w:p>
    <w:p w:rsidR="004515E8" w:rsidRDefault="004515E8" w:rsidP="006549C3">
      <w:pPr>
        <w:pStyle w:val="ListParagraph"/>
      </w:pPr>
      <w:r>
        <w:t xml:space="preserve">If 'Yes', how and why? </w:t>
      </w:r>
      <w:r w:rsidR="006549C3">
        <w:t xml:space="preserve"> (If ‘no’, please explain</w:t>
      </w:r>
      <w:proofErr w:type="gramStart"/>
      <w:r w:rsidR="006549C3">
        <w:t>. )</w:t>
      </w:r>
      <w:proofErr w:type="gramEnd"/>
    </w:p>
    <w:p w:rsidR="006549C3" w:rsidRDefault="006549C3" w:rsidP="006549C3">
      <w:pPr>
        <w:pStyle w:val="ListParagraph"/>
      </w:pPr>
    </w:p>
    <w:p w:rsidR="004515E8" w:rsidRDefault="004515E8" w:rsidP="00E72DF1">
      <w:pPr>
        <w:pStyle w:val="ListParagraph"/>
        <w:numPr>
          <w:ilvl w:val="0"/>
          <w:numId w:val="3"/>
        </w:numPr>
      </w:pPr>
      <w:r>
        <w:t>Pre-sessional students go on to study a range of academic subjects. They need to know that methods of knowledge creation</w:t>
      </w:r>
      <w:r w:rsidR="00E72DF1">
        <w:t xml:space="preserve"> and academic practice</w:t>
      </w:r>
      <w:r>
        <w:t xml:space="preserve"> differ between the natural sciences and the social sciences. How could you explain these differences to your students? (Example</w:t>
      </w:r>
      <w:r w:rsidR="00E72DF1">
        <w:t>s</w:t>
      </w:r>
      <w:r>
        <w:t>:</w:t>
      </w:r>
      <w:r w:rsidR="00E72DF1">
        <w:t xml:space="preserve"> disciplinary differences in research philosophy/ research methodology/ writing genres/ assessment practices/ notions of student autonomy/ </w:t>
      </w:r>
      <w:proofErr w:type="gramStart"/>
      <w:r w:rsidR="00E72DF1">
        <w:t>……………………</w:t>
      </w:r>
      <w:proofErr w:type="gramEnd"/>
      <w:r w:rsidR="00E72DF1">
        <w:t>..</w:t>
      </w:r>
      <w:r>
        <w:t xml:space="preserve">) </w:t>
      </w:r>
    </w:p>
    <w:p w:rsidR="00E72DF1" w:rsidRDefault="00E72DF1" w:rsidP="00E72DF1">
      <w:pPr>
        <w:pStyle w:val="ListParagraph"/>
      </w:pPr>
    </w:p>
    <w:p w:rsidR="006B3301" w:rsidRDefault="004515E8" w:rsidP="006549C3">
      <w:pPr>
        <w:pStyle w:val="ListParagraph"/>
        <w:numPr>
          <w:ilvl w:val="0"/>
          <w:numId w:val="3"/>
        </w:numPr>
      </w:pPr>
      <w:r>
        <w:t>Some university students are interested in their subject and quickly grasp academic requirements such as extensive reading, adopting a critical approach and autonomous, deep learning - they ‘virtually teach themselves’ (Biggs, 1999:57); while others adopt a more superficial approach and make enough effort merely to pass.  What can teachers do to enable less ‘academic’ students to engage in deeper learning?</w:t>
      </w:r>
    </w:p>
    <w:p w:rsidR="006B3301" w:rsidRDefault="006B3301" w:rsidP="006B3301">
      <w:pPr>
        <w:pStyle w:val="ListParagraph"/>
      </w:pPr>
    </w:p>
    <w:p w:rsidR="001303DE" w:rsidRDefault="001303DE" w:rsidP="006B3301">
      <w:pPr>
        <w:pStyle w:val="ListParagraph"/>
      </w:pPr>
    </w:p>
    <w:p w:rsidR="005A3D70" w:rsidRDefault="004515E8" w:rsidP="00D346A3">
      <w:pPr>
        <w:pStyle w:val="ListParagraph"/>
        <w:numPr>
          <w:ilvl w:val="0"/>
          <w:numId w:val="7"/>
        </w:numPr>
      </w:pPr>
      <w:r w:rsidRPr="004515E8">
        <w:rPr>
          <w:b/>
        </w:rPr>
        <w:t>Optional reading:</w:t>
      </w:r>
      <w:r>
        <w:t xml:space="preserve"> </w:t>
      </w:r>
      <w:r w:rsidR="000C07B6">
        <w:t>The following texts (sent with pre-induction email) present some useful ideas regarding diversity and intercultural aspects of teaching and learning:</w:t>
      </w:r>
    </w:p>
    <w:p w:rsidR="004515E8" w:rsidRDefault="004515E8" w:rsidP="004515E8">
      <w:pPr>
        <w:pStyle w:val="ListParagraph"/>
      </w:pPr>
    </w:p>
    <w:p w:rsidR="004515E8" w:rsidRPr="001303DE" w:rsidRDefault="004D7DD1" w:rsidP="004D7DD1">
      <w:proofErr w:type="spellStart"/>
      <w:r w:rsidRPr="001303DE">
        <w:t>Assen</w:t>
      </w:r>
      <w:proofErr w:type="spellEnd"/>
      <w:r w:rsidRPr="001303DE">
        <w:t xml:space="preserve">, J. H. E., </w:t>
      </w:r>
      <w:proofErr w:type="spellStart"/>
      <w:r w:rsidRPr="001303DE">
        <w:t>Kopops</w:t>
      </w:r>
      <w:proofErr w:type="spellEnd"/>
      <w:r w:rsidRPr="001303DE">
        <w:t xml:space="preserve">, H., </w:t>
      </w:r>
      <w:proofErr w:type="spellStart"/>
      <w:r w:rsidRPr="001303DE">
        <w:t>Meijers</w:t>
      </w:r>
      <w:proofErr w:type="spellEnd"/>
      <w:r w:rsidRPr="001303DE">
        <w:t xml:space="preserve">, F., </w:t>
      </w:r>
      <w:proofErr w:type="spellStart"/>
      <w:r w:rsidRPr="001303DE">
        <w:t>Otting</w:t>
      </w:r>
      <w:proofErr w:type="spellEnd"/>
      <w:r w:rsidRPr="001303DE">
        <w:t xml:space="preserve">, H. &amp; </w:t>
      </w:r>
      <w:proofErr w:type="spellStart"/>
      <w:r w:rsidRPr="001303DE">
        <w:t>Poell</w:t>
      </w:r>
      <w:proofErr w:type="spellEnd"/>
      <w:r w:rsidRPr="001303DE">
        <w:t xml:space="preserve">, R. F. (2018) How can a dialogue support teachers’ professional identity development? Harmonising multiple teacher positions. </w:t>
      </w:r>
      <w:r w:rsidRPr="001303DE">
        <w:rPr>
          <w:i/>
        </w:rPr>
        <w:t>Teacher and Teacher Education</w:t>
      </w:r>
      <w:r w:rsidRPr="001303DE">
        <w:t>, 73: pp.130-140</w:t>
      </w:r>
    </w:p>
    <w:p w:rsidR="004D7DD1" w:rsidRPr="001303DE" w:rsidRDefault="006B3301" w:rsidP="004D7DD1">
      <w:proofErr w:type="spellStart"/>
      <w:r w:rsidRPr="001303DE">
        <w:t>Dipp</w:t>
      </w:r>
      <w:r w:rsidR="004D7DD1" w:rsidRPr="001303DE">
        <w:t>old</w:t>
      </w:r>
      <w:proofErr w:type="spellEnd"/>
      <w:r w:rsidR="004D7DD1" w:rsidRPr="001303DE">
        <w:t xml:space="preserve">, D., Bridges, S., Eccles, S. &amp; Mullen, </w:t>
      </w:r>
      <w:proofErr w:type="gramStart"/>
      <w:r w:rsidR="004D7DD1" w:rsidRPr="001303DE">
        <w:t>E</w:t>
      </w:r>
      <w:proofErr w:type="gramEnd"/>
      <w:r w:rsidR="004D7DD1" w:rsidRPr="001303DE">
        <w:t xml:space="preserve">. (2018) Developing the global graduate: how first year university students narrate their experiences of culture. </w:t>
      </w:r>
      <w:r w:rsidR="004D7DD1" w:rsidRPr="001303DE">
        <w:rPr>
          <w:i/>
        </w:rPr>
        <w:t>Language and Intercultural Communication</w:t>
      </w:r>
      <w:r w:rsidR="004D7DD1" w:rsidRPr="001303DE">
        <w:t>, https//doi.org/10.1080/14708477.2018</w:t>
      </w:r>
      <w:r w:rsidRPr="001303DE">
        <w:t>.</w:t>
      </w:r>
      <w:r w:rsidR="004D7DD1" w:rsidRPr="001303DE">
        <w:t>1526939</w:t>
      </w:r>
      <w:r w:rsidRPr="001303DE">
        <w:t xml:space="preserve"> </w:t>
      </w:r>
      <w:r w:rsidR="004D7DD1" w:rsidRPr="001303DE">
        <w:t xml:space="preserve"> </w:t>
      </w:r>
    </w:p>
    <w:p w:rsidR="006B3301" w:rsidRPr="001303DE" w:rsidRDefault="006B3301" w:rsidP="004D7DD1">
      <w:r w:rsidRPr="001303DE">
        <w:t xml:space="preserve">Haggis, T. (2006) Pedagogies for diversity: retaining critical challenge amidst ears of ‘dumbing down’. </w:t>
      </w:r>
      <w:r w:rsidRPr="001303DE">
        <w:rPr>
          <w:i/>
        </w:rPr>
        <w:t>Studies in Higher Education</w:t>
      </w:r>
      <w:r w:rsidRPr="001303DE">
        <w:t>, 31:5, 521-535</w:t>
      </w:r>
    </w:p>
    <w:p w:rsidR="00D346A3" w:rsidRPr="001303DE" w:rsidRDefault="00D346A3" w:rsidP="00D346A3">
      <w:r w:rsidRPr="001303DE">
        <w:t xml:space="preserve">Scudamore, R. (2013) </w:t>
      </w:r>
      <w:r w:rsidRPr="001303DE">
        <w:rPr>
          <w:i/>
        </w:rPr>
        <w:t>Engaging home and international students: A guide for new lecturers</w:t>
      </w:r>
      <w:r w:rsidRPr="001303DE">
        <w:t xml:space="preserve">. HEA </w:t>
      </w:r>
      <w:hyperlink r:id="rId8" w:history="1">
        <w:r w:rsidRPr="001303DE">
          <w:rPr>
            <w:rStyle w:val="Hyperlink"/>
          </w:rPr>
          <w:t>https://www.heacademy.ac.uk/system/files/rachelscudamorereportfeb2013.pdf</w:t>
        </w:r>
      </w:hyperlink>
      <w:r w:rsidRPr="001303DE">
        <w:t xml:space="preserve"> </w:t>
      </w:r>
    </w:p>
    <w:sectPr w:rsidR="00D346A3" w:rsidRPr="001303D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B6" w:rsidRDefault="000C07B6" w:rsidP="000C07B6">
      <w:pPr>
        <w:spacing w:after="0" w:line="240" w:lineRule="auto"/>
      </w:pPr>
      <w:r>
        <w:separator/>
      </w:r>
    </w:p>
  </w:endnote>
  <w:endnote w:type="continuationSeparator" w:id="0">
    <w:p w:rsidR="000C07B6" w:rsidRDefault="000C07B6" w:rsidP="000C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93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01" w:rsidRDefault="006B3301" w:rsidP="0098375D">
        <w:pPr>
          <w:pStyle w:val="Footer"/>
        </w:pPr>
        <w:r>
          <w:t xml:space="preserve">     </w:t>
        </w:r>
        <w:r w:rsidR="00905712">
          <w:t xml:space="preserve">  </w:t>
        </w:r>
        <w:r>
          <w:t xml:space="preserve"> </w:t>
        </w:r>
        <w:r w:rsidR="00905712">
          <w:t xml:space="preserve">J. Bell </w:t>
        </w:r>
        <w:hyperlink r:id="rId1" w:history="1">
          <w:r w:rsidR="00905712" w:rsidRPr="00085905">
            <w:rPr>
              <w:rStyle w:val="Hyperlink"/>
            </w:rPr>
            <w:t>jane.g.bell@hw.ac.uk</w:t>
          </w:r>
        </w:hyperlink>
        <w:r w:rsidR="00905712">
          <w:t xml:space="preserve"> &amp; J. Richardson </w:t>
        </w:r>
        <w:hyperlink r:id="rId2" w:history="1">
          <w:r w:rsidR="00905712" w:rsidRPr="00085905">
            <w:rPr>
              <w:rStyle w:val="Hyperlink"/>
            </w:rPr>
            <w:t>j.richardson@hw.ac.uk</w:t>
          </w:r>
        </w:hyperlink>
        <w:r w:rsidR="00905712">
          <w:t xml:space="preserve">  (2019)                            </w:t>
        </w:r>
        <w:r>
          <w:t xml:space="preserve">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3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301" w:rsidRDefault="006B3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B6" w:rsidRDefault="000C07B6" w:rsidP="000C07B6">
      <w:pPr>
        <w:spacing w:after="0" w:line="240" w:lineRule="auto"/>
      </w:pPr>
      <w:r>
        <w:separator/>
      </w:r>
    </w:p>
  </w:footnote>
  <w:footnote w:type="continuationSeparator" w:id="0">
    <w:p w:rsidR="000C07B6" w:rsidRDefault="000C07B6" w:rsidP="000C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B6" w:rsidRDefault="00C50DF9" w:rsidP="000C07B6">
    <w:pPr>
      <w:pStyle w:val="Header"/>
      <w:jc w:val="right"/>
    </w:pPr>
    <w:r>
      <w:t xml:space="preserve"> </w:t>
    </w:r>
    <w:r w:rsidRPr="00C50DF9">
      <w:rPr>
        <w:b/>
      </w:rPr>
      <w:t>Pre-sessional teacher preparation for Diversity Induction session</w:t>
    </w:r>
    <w:r>
      <w:t xml:space="preserve"> </w:t>
    </w:r>
    <w:r w:rsidR="000C07B6" w:rsidRPr="00F7655A">
      <w:rPr>
        <w:rFonts w:ascii="Times New Roman" w:eastAsia="Times New Roman" w:hAnsi="Times New Roman" w:cs="Times New Roman"/>
        <w:noProof/>
        <w:sz w:val="20"/>
        <w:szCs w:val="20"/>
        <w:lang w:eastAsia="en-GB"/>
      </w:rPr>
      <w:drawing>
        <wp:inline distT="0" distB="0" distL="0" distR="0" wp14:anchorId="6693BA14" wp14:editId="4C5671B3">
          <wp:extent cx="1162800" cy="58320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 - Logo (Positiv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7B6" w:rsidRDefault="000C0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7BB"/>
    <w:multiLevelType w:val="hybridMultilevel"/>
    <w:tmpl w:val="5D76EFE4"/>
    <w:lvl w:ilvl="0" w:tplc="4F0E2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479A"/>
    <w:multiLevelType w:val="hybridMultilevel"/>
    <w:tmpl w:val="EF121A24"/>
    <w:lvl w:ilvl="0" w:tplc="DDC44B5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365CB"/>
    <w:multiLevelType w:val="hybridMultilevel"/>
    <w:tmpl w:val="A95A8AE2"/>
    <w:lvl w:ilvl="0" w:tplc="1FC29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0548"/>
    <w:multiLevelType w:val="hybridMultilevel"/>
    <w:tmpl w:val="38CAF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259A"/>
    <w:multiLevelType w:val="hybridMultilevel"/>
    <w:tmpl w:val="ABEAA392"/>
    <w:lvl w:ilvl="0" w:tplc="74508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65966"/>
    <w:multiLevelType w:val="hybridMultilevel"/>
    <w:tmpl w:val="D6786CB6"/>
    <w:lvl w:ilvl="0" w:tplc="089C9F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16C8A"/>
    <w:multiLevelType w:val="hybridMultilevel"/>
    <w:tmpl w:val="BBF2A3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40"/>
    <w:rsid w:val="000C07B6"/>
    <w:rsid w:val="000E2DC4"/>
    <w:rsid w:val="001303DE"/>
    <w:rsid w:val="001C0310"/>
    <w:rsid w:val="0035375E"/>
    <w:rsid w:val="00392899"/>
    <w:rsid w:val="004515E8"/>
    <w:rsid w:val="004D7DD1"/>
    <w:rsid w:val="00553240"/>
    <w:rsid w:val="00646104"/>
    <w:rsid w:val="006549C3"/>
    <w:rsid w:val="006B185B"/>
    <w:rsid w:val="006B3301"/>
    <w:rsid w:val="00905712"/>
    <w:rsid w:val="0098375D"/>
    <w:rsid w:val="009D7309"/>
    <w:rsid w:val="00A67893"/>
    <w:rsid w:val="00C50DF9"/>
    <w:rsid w:val="00D346A3"/>
    <w:rsid w:val="00E7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1560"/>
  <w15:chartTrackingRefBased/>
  <w15:docId w15:val="{A451E754-9E6C-46F8-A683-46F38E46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B6"/>
  </w:style>
  <w:style w:type="paragraph" w:styleId="Footer">
    <w:name w:val="footer"/>
    <w:basedOn w:val="Normal"/>
    <w:link w:val="FooterChar"/>
    <w:uiPriority w:val="99"/>
    <w:unhideWhenUsed/>
    <w:rsid w:val="000C0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B6"/>
  </w:style>
  <w:style w:type="paragraph" w:styleId="ListParagraph">
    <w:name w:val="List Paragraph"/>
    <w:basedOn w:val="Normal"/>
    <w:uiPriority w:val="34"/>
    <w:qFormat/>
    <w:rsid w:val="000C0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6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cademy.ac.uk/system/files/rachelscudamorereportfeb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plicit.harvard.edu/implicit/takeates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richardson@hw.ac.uk" TargetMode="External"/><Relationship Id="rId1" Type="http://schemas.openxmlformats.org/officeDocument/2006/relationships/hyperlink" Target="mailto:jane.g.bell@h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Jane G</dc:creator>
  <cp:keywords/>
  <dc:description/>
  <cp:lastModifiedBy>Bell, Jane G</cp:lastModifiedBy>
  <cp:revision>9</cp:revision>
  <cp:lastPrinted>2019-05-09T17:48:00Z</cp:lastPrinted>
  <dcterms:created xsi:type="dcterms:W3CDTF">2019-05-08T14:25:00Z</dcterms:created>
  <dcterms:modified xsi:type="dcterms:W3CDTF">2019-05-10T14:42:00Z</dcterms:modified>
</cp:coreProperties>
</file>