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7" w:type="dxa"/>
        <w:tblInd w:w="-567" w:type="dxa"/>
        <w:tblLook w:val="04A0" w:firstRow="1" w:lastRow="0" w:firstColumn="1" w:lastColumn="0" w:noHBand="0" w:noVBand="1"/>
      </w:tblPr>
      <w:tblGrid>
        <w:gridCol w:w="1413"/>
        <w:gridCol w:w="3331"/>
        <w:gridCol w:w="1583"/>
        <w:gridCol w:w="1748"/>
        <w:gridCol w:w="2457"/>
        <w:gridCol w:w="874"/>
        <w:gridCol w:w="3331"/>
      </w:tblGrid>
      <w:tr w:rsidR="004B2C53" w:rsidTr="003348AC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53" w:rsidRDefault="004B2C53"/>
        </w:tc>
        <w:tc>
          <w:tcPr>
            <w:tcW w:w="133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8AC" w:rsidRPr="003348AC" w:rsidRDefault="003348AC" w:rsidP="003348AC">
            <w:pPr>
              <w:jc w:val="center"/>
              <w:rPr>
                <w:sz w:val="28"/>
              </w:rPr>
            </w:pPr>
            <w:r w:rsidRPr="00BF29EC">
              <w:rPr>
                <w:sz w:val="32"/>
              </w:rPr>
              <w:t xml:space="preserve">Professional Interest Meeting </w:t>
            </w:r>
            <w:r w:rsidRPr="003348AC">
              <w:rPr>
                <w:sz w:val="28"/>
              </w:rPr>
              <w:t xml:space="preserve">– </w:t>
            </w:r>
            <w:r w:rsidR="00BF29EC">
              <w:rPr>
                <w:sz w:val="28"/>
              </w:rPr>
              <w:t xml:space="preserve">jointly hosted by </w:t>
            </w:r>
            <w:r w:rsidRPr="003348AC">
              <w:rPr>
                <w:sz w:val="28"/>
              </w:rPr>
              <w:t xml:space="preserve">BALEAP and BAAL ICC SIG </w:t>
            </w:r>
          </w:p>
          <w:p w:rsidR="004B2C53" w:rsidRPr="00BF29EC" w:rsidRDefault="003348AC" w:rsidP="003348AC">
            <w:pPr>
              <w:jc w:val="center"/>
              <w:rPr>
                <w:b/>
                <w:sz w:val="52"/>
              </w:rPr>
            </w:pPr>
            <w:r w:rsidRPr="00BF29EC">
              <w:rPr>
                <w:b/>
                <w:sz w:val="52"/>
              </w:rPr>
              <w:t>INTERCULTUR</w:t>
            </w:r>
            <w:bookmarkStart w:id="0" w:name="_GoBack"/>
            <w:bookmarkEnd w:id="0"/>
            <w:r w:rsidRPr="00BF29EC">
              <w:rPr>
                <w:b/>
                <w:sz w:val="52"/>
              </w:rPr>
              <w:t>AL COMMUNICATION AND EAP</w:t>
            </w:r>
          </w:p>
          <w:p w:rsidR="003348AC" w:rsidRPr="003348AC" w:rsidRDefault="003348AC" w:rsidP="003348AC">
            <w:pPr>
              <w:jc w:val="center"/>
              <w:rPr>
                <w:sz w:val="28"/>
              </w:rPr>
            </w:pPr>
          </w:p>
          <w:p w:rsidR="003348AC" w:rsidRPr="003348AC" w:rsidRDefault="003348AC" w:rsidP="003348AC">
            <w:pPr>
              <w:jc w:val="center"/>
              <w:rPr>
                <w:sz w:val="28"/>
              </w:rPr>
            </w:pPr>
            <w:r w:rsidRPr="003348AC">
              <w:rPr>
                <w:sz w:val="28"/>
              </w:rPr>
              <w:t>Saturday November 18</w:t>
            </w:r>
            <w:r w:rsidRPr="003348AC">
              <w:rPr>
                <w:sz w:val="28"/>
                <w:vertAlign w:val="superscript"/>
              </w:rPr>
              <w:t>th</w:t>
            </w:r>
            <w:r w:rsidRPr="003348AC">
              <w:rPr>
                <w:sz w:val="28"/>
              </w:rPr>
              <w:t>, 2017</w:t>
            </w:r>
          </w:p>
          <w:p w:rsidR="003348AC" w:rsidRDefault="003348AC" w:rsidP="003348AC">
            <w:pPr>
              <w:jc w:val="center"/>
              <w:rPr>
                <w:sz w:val="28"/>
              </w:rPr>
            </w:pPr>
            <w:r w:rsidRPr="003348AC">
              <w:rPr>
                <w:sz w:val="28"/>
              </w:rPr>
              <w:t>Newton Building, City Campus, Nottingham Trent University</w:t>
            </w:r>
          </w:p>
          <w:p w:rsidR="003348AC" w:rsidRDefault="003348AC" w:rsidP="003348AC">
            <w:pPr>
              <w:jc w:val="center"/>
            </w:pPr>
          </w:p>
        </w:tc>
      </w:tr>
      <w:tr w:rsidR="003348AC" w:rsidTr="00471B1C">
        <w:trPr>
          <w:trHeight w:val="397"/>
        </w:trPr>
        <w:tc>
          <w:tcPr>
            <w:tcW w:w="1413" w:type="dxa"/>
            <w:tcBorders>
              <w:top w:val="single" w:sz="4" w:space="0" w:color="auto"/>
            </w:tcBorders>
          </w:tcPr>
          <w:p w:rsidR="003348AC" w:rsidRDefault="003348AC" w:rsidP="003348AC">
            <w:r>
              <w:t>9.00-9.30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</w:tcBorders>
          </w:tcPr>
          <w:p w:rsidR="003348AC" w:rsidRDefault="003348AC" w:rsidP="003348AC">
            <w:r w:rsidRPr="003348AC">
              <w:rPr>
                <w:b/>
              </w:rPr>
              <w:t xml:space="preserve">Registration </w:t>
            </w:r>
            <w:r>
              <w:t>(tea/coffee provided)</w:t>
            </w:r>
          </w:p>
        </w:tc>
      </w:tr>
      <w:tr w:rsidR="003348AC" w:rsidTr="00471B1C">
        <w:trPr>
          <w:trHeight w:val="397"/>
        </w:trPr>
        <w:tc>
          <w:tcPr>
            <w:tcW w:w="1413" w:type="dxa"/>
          </w:tcPr>
          <w:p w:rsidR="003348AC" w:rsidRDefault="003348AC" w:rsidP="003348AC">
            <w:r>
              <w:t>9.30-9.40</w:t>
            </w:r>
          </w:p>
        </w:tc>
        <w:tc>
          <w:tcPr>
            <w:tcW w:w="13324" w:type="dxa"/>
            <w:gridSpan w:val="6"/>
          </w:tcPr>
          <w:p w:rsidR="003348AC" w:rsidRPr="003348AC" w:rsidRDefault="003348AC" w:rsidP="003348AC">
            <w:pPr>
              <w:rPr>
                <w:b/>
              </w:rPr>
            </w:pPr>
            <w:r w:rsidRPr="003348AC">
              <w:rPr>
                <w:b/>
              </w:rPr>
              <w:t>Welcome/Opening</w:t>
            </w:r>
          </w:p>
        </w:tc>
      </w:tr>
      <w:tr w:rsidR="003348AC" w:rsidTr="00471B1C">
        <w:trPr>
          <w:trHeight w:val="1304"/>
        </w:trPr>
        <w:tc>
          <w:tcPr>
            <w:tcW w:w="1413" w:type="dxa"/>
          </w:tcPr>
          <w:p w:rsidR="003348AC" w:rsidRDefault="003348AC" w:rsidP="003348AC">
            <w:r>
              <w:t>9.45-10.45</w:t>
            </w:r>
          </w:p>
        </w:tc>
        <w:tc>
          <w:tcPr>
            <w:tcW w:w="13324" w:type="dxa"/>
            <w:gridSpan w:val="6"/>
          </w:tcPr>
          <w:p w:rsidR="003348AC" w:rsidRPr="003348AC" w:rsidRDefault="003348AC" w:rsidP="003348AC">
            <w:pPr>
              <w:rPr>
                <w:b/>
              </w:rPr>
            </w:pPr>
            <w:r w:rsidRPr="003348AC">
              <w:rPr>
                <w:b/>
              </w:rPr>
              <w:t>Plenary Presentation</w:t>
            </w:r>
          </w:p>
          <w:p w:rsidR="003348AC" w:rsidRDefault="003348AC" w:rsidP="003348AC">
            <w:pPr>
              <w:rPr>
                <w:i/>
              </w:rPr>
            </w:pPr>
            <w:r>
              <w:t xml:space="preserve">Prof. Adrian Holliday, </w:t>
            </w:r>
            <w:r w:rsidRPr="004B2C53">
              <w:t>Canterbury Christ Church University</w:t>
            </w:r>
          </w:p>
          <w:p w:rsidR="003348AC" w:rsidRPr="004B2C53" w:rsidRDefault="003348AC" w:rsidP="003348AC">
            <w:pPr>
              <w:rPr>
                <w:i/>
              </w:rPr>
            </w:pPr>
            <w:r w:rsidRPr="004B2C53">
              <w:rPr>
                <w:i/>
                <w:sz w:val="24"/>
              </w:rPr>
              <w:t>EAP as small culture formation on the go: recovering and building on the communicative and cultural experience our students bring with them</w:t>
            </w:r>
          </w:p>
        </w:tc>
      </w:tr>
      <w:tr w:rsidR="003348AC" w:rsidTr="00471B1C">
        <w:trPr>
          <w:trHeight w:val="1587"/>
        </w:trPr>
        <w:tc>
          <w:tcPr>
            <w:tcW w:w="1413" w:type="dxa"/>
          </w:tcPr>
          <w:p w:rsidR="003348AC" w:rsidRPr="003348AC" w:rsidRDefault="003348AC" w:rsidP="003348AC">
            <w:pPr>
              <w:rPr>
                <w:b/>
              </w:rPr>
            </w:pPr>
            <w:r w:rsidRPr="003348AC">
              <w:rPr>
                <w:b/>
              </w:rPr>
              <w:t xml:space="preserve">Session </w:t>
            </w:r>
            <w:r w:rsidR="00471B1C">
              <w:rPr>
                <w:b/>
              </w:rPr>
              <w:t>1</w:t>
            </w:r>
          </w:p>
          <w:p w:rsidR="003348AC" w:rsidRDefault="003348AC" w:rsidP="003348AC">
            <w:r>
              <w:t>11-11.25</w:t>
            </w:r>
          </w:p>
        </w:tc>
        <w:tc>
          <w:tcPr>
            <w:tcW w:w="4914" w:type="dxa"/>
            <w:gridSpan w:val="2"/>
          </w:tcPr>
          <w:p w:rsidR="003348AC" w:rsidRDefault="003348AC" w:rsidP="003348AC">
            <w:proofErr w:type="spellStart"/>
            <w:r w:rsidRPr="007A6929">
              <w:t>Mazhurnaya</w:t>
            </w:r>
            <w:proofErr w:type="spellEnd"/>
            <w:r w:rsidRPr="007A6929">
              <w:t xml:space="preserve">, </w:t>
            </w:r>
            <w:proofErr w:type="spellStart"/>
            <w:r w:rsidRPr="007A6929">
              <w:t>Orszulik</w:t>
            </w:r>
            <w:proofErr w:type="spellEnd"/>
            <w:r w:rsidRPr="007A6929">
              <w:t xml:space="preserve"> &amp; McCormack, Reading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An experiment in introducing inter-cultural competency into the EAP classroom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>
              <w:t>Zheng, Portsmouth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What influences student integration in international classrooms? Issues of language, identity, representation and resistance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>
              <w:t>Bond, Leeds</w:t>
            </w:r>
          </w:p>
          <w:p w:rsidR="003348AC" w:rsidRPr="00FE585E" w:rsidRDefault="003348AC" w:rsidP="003348AC">
            <w:pPr>
              <w:rPr>
                <w:i/>
              </w:rPr>
            </w:pPr>
            <w:r w:rsidRPr="00FE585E">
              <w:rPr>
                <w:rFonts w:cstheme="minorHAnsi"/>
                <w:i/>
                <w:sz w:val="24"/>
                <w:szCs w:val="24"/>
              </w:rPr>
              <w:t>‘We just talk in Chinese because we’re all Chinese people’</w:t>
            </w:r>
          </w:p>
        </w:tc>
      </w:tr>
      <w:tr w:rsidR="003348AC" w:rsidTr="00471B1C">
        <w:trPr>
          <w:trHeight w:val="1304"/>
        </w:trPr>
        <w:tc>
          <w:tcPr>
            <w:tcW w:w="1413" w:type="dxa"/>
          </w:tcPr>
          <w:p w:rsidR="003348AC" w:rsidRPr="003348AC" w:rsidRDefault="003348AC" w:rsidP="003348AC">
            <w:pPr>
              <w:rPr>
                <w:b/>
              </w:rPr>
            </w:pPr>
            <w:r w:rsidRPr="003348AC">
              <w:rPr>
                <w:b/>
              </w:rPr>
              <w:t xml:space="preserve">Session </w:t>
            </w:r>
            <w:r w:rsidR="00471B1C">
              <w:rPr>
                <w:b/>
              </w:rPr>
              <w:t>2</w:t>
            </w:r>
          </w:p>
          <w:p w:rsidR="003348AC" w:rsidRDefault="003348AC" w:rsidP="003348AC">
            <w:r>
              <w:t>11.30-11.55</w:t>
            </w:r>
          </w:p>
        </w:tc>
        <w:tc>
          <w:tcPr>
            <w:tcW w:w="4914" w:type="dxa"/>
            <w:gridSpan w:val="2"/>
          </w:tcPr>
          <w:p w:rsidR="003348AC" w:rsidRPr="00667AB4" w:rsidRDefault="003348AC" w:rsidP="003348AC">
            <w:r w:rsidRPr="00667AB4">
              <w:t xml:space="preserve">Brydon &amp; </w:t>
            </w:r>
            <w:proofErr w:type="spellStart"/>
            <w:r w:rsidRPr="00667AB4">
              <w:t>Husmann</w:t>
            </w:r>
            <w:proofErr w:type="spellEnd"/>
            <w:r w:rsidRPr="00667AB4">
              <w:t>, Northumbria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667AB4">
              <w:rPr>
                <w:i/>
              </w:rPr>
              <w:t>Examining the usefulness of assessment in a credit bearing module at Foundation Level:  Intercultural Communication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proofErr w:type="spellStart"/>
            <w:r>
              <w:t>Syrbe</w:t>
            </w:r>
            <w:proofErr w:type="spellEnd"/>
            <w:r>
              <w:t>, Coventry</w:t>
            </w:r>
          </w:p>
          <w:p w:rsidR="003348AC" w:rsidRPr="00667AB4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Developing activities for intercultural awareness in the academic English classroom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proofErr w:type="spellStart"/>
            <w:r>
              <w:t>Colledge</w:t>
            </w:r>
            <w:proofErr w:type="spellEnd"/>
            <w:r>
              <w:t xml:space="preserve"> &amp; </w:t>
            </w:r>
            <w:proofErr w:type="spellStart"/>
            <w:r>
              <w:t>Rashwan</w:t>
            </w:r>
            <w:proofErr w:type="spellEnd"/>
          </w:p>
          <w:p w:rsidR="003348AC" w:rsidRPr="00407550" w:rsidRDefault="003348AC" w:rsidP="003348AC">
            <w:pPr>
              <w:rPr>
                <w:i/>
              </w:rPr>
            </w:pPr>
            <w:r w:rsidRPr="00407550">
              <w:rPr>
                <w:i/>
              </w:rPr>
              <w:t>The influence of Intercultural Competence on the internal dynamics of a multicultural work team</w:t>
            </w:r>
          </w:p>
        </w:tc>
      </w:tr>
      <w:tr w:rsidR="003348AC" w:rsidTr="00471B1C">
        <w:trPr>
          <w:trHeight w:val="2438"/>
        </w:trPr>
        <w:tc>
          <w:tcPr>
            <w:tcW w:w="1413" w:type="dxa"/>
          </w:tcPr>
          <w:p w:rsidR="003348AC" w:rsidRPr="003348AC" w:rsidRDefault="003348AC" w:rsidP="003348AC">
            <w:pPr>
              <w:rPr>
                <w:b/>
              </w:rPr>
            </w:pPr>
            <w:r w:rsidRPr="003348AC">
              <w:rPr>
                <w:b/>
              </w:rPr>
              <w:t xml:space="preserve">Session </w:t>
            </w:r>
            <w:r w:rsidR="00471B1C">
              <w:rPr>
                <w:b/>
              </w:rPr>
              <w:t>3</w:t>
            </w:r>
          </w:p>
          <w:p w:rsidR="003348AC" w:rsidRDefault="003348AC" w:rsidP="003348AC">
            <w:r>
              <w:t>12.00-12.25</w:t>
            </w:r>
          </w:p>
        </w:tc>
        <w:tc>
          <w:tcPr>
            <w:tcW w:w="3331" w:type="dxa"/>
          </w:tcPr>
          <w:p w:rsidR="003348AC" w:rsidRDefault="003348AC" w:rsidP="003348AC">
            <w:r>
              <w:t>Kennedy, NTU</w:t>
            </w:r>
          </w:p>
          <w:p w:rsidR="003348AC" w:rsidRPr="00667AB4" w:rsidRDefault="003348AC" w:rsidP="003348AC">
            <w:pPr>
              <w:rPr>
                <w:i/>
              </w:rPr>
            </w:pPr>
            <w:r w:rsidRPr="00667AB4">
              <w:rPr>
                <w:i/>
              </w:rPr>
              <w:t>How public thinking can support the teaching of intercultural communication in the EAP classroom</w:t>
            </w:r>
          </w:p>
        </w:tc>
        <w:tc>
          <w:tcPr>
            <w:tcW w:w="3331" w:type="dxa"/>
            <w:gridSpan w:val="2"/>
          </w:tcPr>
          <w:p w:rsidR="003348AC" w:rsidRDefault="003348AC" w:rsidP="003348AC">
            <w:r>
              <w:t>Smyth, QMUL</w:t>
            </w:r>
          </w:p>
          <w:p w:rsidR="003348AC" w:rsidRPr="00667AB4" w:rsidRDefault="003348AC" w:rsidP="003348AC">
            <w:pPr>
              <w:rPr>
                <w:i/>
              </w:rPr>
            </w:pPr>
            <w:r w:rsidRPr="00667AB4">
              <w:rPr>
                <w:i/>
              </w:rPr>
              <w:t>Using literary works to explore relation between law and social justice in the EAP classroom</w:t>
            </w:r>
          </w:p>
        </w:tc>
        <w:tc>
          <w:tcPr>
            <w:tcW w:w="3331" w:type="dxa"/>
            <w:gridSpan w:val="2"/>
          </w:tcPr>
          <w:p w:rsidR="003348AC" w:rsidRDefault="003348AC" w:rsidP="003348AC">
            <w:r>
              <w:t>Bell, Richardson &amp; Ahmed, Herriot Watt</w:t>
            </w:r>
          </w:p>
          <w:p w:rsidR="003348AC" w:rsidRDefault="003348AC" w:rsidP="003348AC">
            <w:r w:rsidRPr="00FE585E">
              <w:rPr>
                <w:i/>
              </w:rPr>
              <w:t>Presentation and peer review of learning materials designed to facilitate intercultural group work, reduce misunderstanding and promote p</w:t>
            </w:r>
            <w:r>
              <w:rPr>
                <w:i/>
              </w:rPr>
              <w:t>ositive attitudes to diversity</w:t>
            </w:r>
          </w:p>
        </w:tc>
        <w:tc>
          <w:tcPr>
            <w:tcW w:w="3331" w:type="dxa"/>
          </w:tcPr>
          <w:p w:rsidR="003348AC" w:rsidRPr="00F65BB8" w:rsidRDefault="003348AC" w:rsidP="003348AC">
            <w:proofErr w:type="spellStart"/>
            <w:r w:rsidRPr="00F65BB8">
              <w:t>Koukouraki</w:t>
            </w:r>
            <w:proofErr w:type="spellEnd"/>
            <w:r w:rsidRPr="00F65BB8">
              <w:t>, Durham</w:t>
            </w:r>
          </w:p>
          <w:p w:rsidR="003348AC" w:rsidRPr="00FE585E" w:rsidRDefault="003348AC" w:rsidP="003348AC">
            <w:pPr>
              <w:rPr>
                <w:i/>
              </w:rPr>
            </w:pPr>
            <w:r w:rsidRPr="00F65BB8">
              <w:rPr>
                <w:i/>
              </w:rPr>
              <w:t>Intercultural Competencies for Teaching in an Internationalised Higher Education Environment</w:t>
            </w:r>
          </w:p>
        </w:tc>
      </w:tr>
      <w:tr w:rsidR="003348AC" w:rsidTr="00471B1C">
        <w:trPr>
          <w:trHeight w:val="397"/>
        </w:trPr>
        <w:tc>
          <w:tcPr>
            <w:tcW w:w="1413" w:type="dxa"/>
          </w:tcPr>
          <w:p w:rsidR="003348AC" w:rsidRDefault="003348AC" w:rsidP="003348AC">
            <w:r>
              <w:t>12.30-1.30</w:t>
            </w:r>
          </w:p>
        </w:tc>
        <w:tc>
          <w:tcPr>
            <w:tcW w:w="13324" w:type="dxa"/>
            <w:gridSpan w:val="6"/>
          </w:tcPr>
          <w:p w:rsidR="003348AC" w:rsidRPr="003348AC" w:rsidRDefault="003348AC" w:rsidP="003348AC">
            <w:pPr>
              <w:rPr>
                <w:b/>
              </w:rPr>
            </w:pPr>
            <w:r w:rsidRPr="003348AC">
              <w:rPr>
                <w:b/>
              </w:rPr>
              <w:t>LUNCH</w:t>
            </w:r>
          </w:p>
        </w:tc>
      </w:tr>
      <w:tr w:rsidR="003348AC" w:rsidTr="00471B1C">
        <w:trPr>
          <w:trHeight w:val="1304"/>
        </w:trPr>
        <w:tc>
          <w:tcPr>
            <w:tcW w:w="1413" w:type="dxa"/>
          </w:tcPr>
          <w:p w:rsidR="003348AC" w:rsidRPr="003348AC" w:rsidRDefault="003348AC" w:rsidP="003348AC">
            <w:pPr>
              <w:rPr>
                <w:b/>
              </w:rPr>
            </w:pPr>
            <w:r w:rsidRPr="003348AC">
              <w:rPr>
                <w:b/>
              </w:rPr>
              <w:lastRenderedPageBreak/>
              <w:t xml:space="preserve">Session </w:t>
            </w:r>
            <w:r w:rsidR="00471B1C">
              <w:rPr>
                <w:b/>
              </w:rPr>
              <w:t>4</w:t>
            </w:r>
          </w:p>
          <w:p w:rsidR="003348AC" w:rsidRDefault="003348AC" w:rsidP="003348AC">
            <w:r>
              <w:t>1.30-1.55</w:t>
            </w:r>
          </w:p>
        </w:tc>
        <w:tc>
          <w:tcPr>
            <w:tcW w:w="4914" w:type="dxa"/>
            <w:gridSpan w:val="2"/>
          </w:tcPr>
          <w:p w:rsidR="003348AC" w:rsidRDefault="003348AC" w:rsidP="003348AC">
            <w:r>
              <w:t>Lund, RCA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Moving from EAP-centric one-way model of intercultural communication towards a two-way process of ac</w:t>
            </w:r>
            <w:r>
              <w:rPr>
                <w:i/>
              </w:rPr>
              <w:t>culturation within institutions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 w:rsidRPr="007A6929">
              <w:t xml:space="preserve">Sjoberg, </w:t>
            </w:r>
            <w:r>
              <w:t>Birmingham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Laying the Foundations - Intercultural Exploration as a Bridge to Academic Skills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>
              <w:t>Davidson, Zayed Univ. Dubai</w:t>
            </w:r>
          </w:p>
          <w:p w:rsidR="003348AC" w:rsidRPr="00407550" w:rsidRDefault="003348AC" w:rsidP="003348AC">
            <w:pPr>
              <w:rPr>
                <w:i/>
              </w:rPr>
            </w:pPr>
            <w:r w:rsidRPr="00407550">
              <w:rPr>
                <w:i/>
              </w:rPr>
              <w:t>Developing cultural sensitivity towards Arab learners</w:t>
            </w:r>
          </w:p>
        </w:tc>
      </w:tr>
      <w:tr w:rsidR="003348AC" w:rsidTr="00471B1C">
        <w:trPr>
          <w:trHeight w:val="1020"/>
        </w:trPr>
        <w:tc>
          <w:tcPr>
            <w:tcW w:w="1413" w:type="dxa"/>
          </w:tcPr>
          <w:p w:rsidR="00471B1C" w:rsidRPr="003348AC" w:rsidRDefault="00471B1C" w:rsidP="00471B1C">
            <w:pPr>
              <w:rPr>
                <w:b/>
              </w:rPr>
            </w:pPr>
            <w:r w:rsidRPr="003348AC">
              <w:rPr>
                <w:b/>
              </w:rPr>
              <w:t xml:space="preserve">Session </w:t>
            </w:r>
            <w:r>
              <w:rPr>
                <w:b/>
              </w:rPr>
              <w:t>5</w:t>
            </w:r>
          </w:p>
          <w:p w:rsidR="003348AC" w:rsidRDefault="003348AC" w:rsidP="003348AC">
            <w:r>
              <w:t>2.00-2.25</w:t>
            </w:r>
          </w:p>
        </w:tc>
        <w:tc>
          <w:tcPr>
            <w:tcW w:w="4914" w:type="dxa"/>
            <w:gridSpan w:val="2"/>
          </w:tcPr>
          <w:p w:rsidR="003348AC" w:rsidRDefault="003348AC" w:rsidP="003348AC">
            <w:r>
              <w:t>Jack, York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From EAP to academic citizenship thr</w:t>
            </w:r>
            <w:r>
              <w:rPr>
                <w:i/>
              </w:rPr>
              <w:t>ough transcultural communication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>
              <w:t>Groves, Birmingham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The foundation year as shared, constructed space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>
              <w:t xml:space="preserve">Wentworth &amp; </w:t>
            </w:r>
            <w:proofErr w:type="spellStart"/>
            <w:r>
              <w:t>d’Abreu</w:t>
            </w:r>
            <w:proofErr w:type="spellEnd"/>
            <w:r>
              <w:t>, Oxford Brookes</w:t>
            </w:r>
          </w:p>
          <w:p w:rsidR="003348AC" w:rsidRPr="00407550" w:rsidRDefault="003348AC" w:rsidP="003348AC">
            <w:pPr>
              <w:rPr>
                <w:i/>
              </w:rPr>
            </w:pPr>
            <w:r w:rsidRPr="00407550">
              <w:rPr>
                <w:i/>
              </w:rPr>
              <w:t>Towards a global literacy:  strategies for the ICC classroom</w:t>
            </w:r>
          </w:p>
        </w:tc>
      </w:tr>
      <w:tr w:rsidR="003348AC" w:rsidTr="00471B1C">
        <w:trPr>
          <w:trHeight w:val="1304"/>
        </w:trPr>
        <w:tc>
          <w:tcPr>
            <w:tcW w:w="1413" w:type="dxa"/>
          </w:tcPr>
          <w:p w:rsidR="00471B1C" w:rsidRPr="003348AC" w:rsidRDefault="00471B1C" w:rsidP="00471B1C">
            <w:pPr>
              <w:rPr>
                <w:b/>
              </w:rPr>
            </w:pPr>
            <w:r w:rsidRPr="003348AC">
              <w:rPr>
                <w:b/>
              </w:rPr>
              <w:t xml:space="preserve">Session </w:t>
            </w:r>
            <w:r>
              <w:rPr>
                <w:b/>
              </w:rPr>
              <w:t>6</w:t>
            </w:r>
          </w:p>
          <w:p w:rsidR="003348AC" w:rsidRDefault="003348AC" w:rsidP="003348AC">
            <w:r>
              <w:t>2.30-2.55</w:t>
            </w:r>
          </w:p>
        </w:tc>
        <w:tc>
          <w:tcPr>
            <w:tcW w:w="4914" w:type="dxa"/>
            <w:gridSpan w:val="2"/>
          </w:tcPr>
          <w:p w:rsidR="003348AC" w:rsidRDefault="003348AC" w:rsidP="003348AC">
            <w:proofErr w:type="spellStart"/>
            <w:r>
              <w:t>Matthewman</w:t>
            </w:r>
            <w:proofErr w:type="spellEnd"/>
            <w:r>
              <w:t>, Goldsmiths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We’re all in it together: How EAP tutors have helped their colleagues in one university to develop clearer and more inclusive writing practices.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>
              <w:t>Fromm, Hertfordshire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Speaking English outside the classroom and intercultural communication in friendship groups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>
              <w:t xml:space="preserve">Yamamoto &amp; </w:t>
            </w:r>
            <w:proofErr w:type="spellStart"/>
            <w:r>
              <w:t>Gardos</w:t>
            </w:r>
            <w:proofErr w:type="spellEnd"/>
            <w:r>
              <w:t>, Bristol</w:t>
            </w:r>
          </w:p>
          <w:p w:rsidR="003348AC" w:rsidRPr="00407550" w:rsidRDefault="003348AC" w:rsidP="003348AC">
            <w:pPr>
              <w:rPr>
                <w:i/>
              </w:rPr>
            </w:pPr>
            <w:r w:rsidRPr="00407550">
              <w:rPr>
                <w:i/>
              </w:rPr>
              <w:t>Connecting the dots between students and tutors from various cultural backgrounds</w:t>
            </w:r>
          </w:p>
        </w:tc>
      </w:tr>
      <w:tr w:rsidR="003348AC" w:rsidTr="00471B1C">
        <w:trPr>
          <w:trHeight w:val="397"/>
        </w:trPr>
        <w:tc>
          <w:tcPr>
            <w:tcW w:w="1413" w:type="dxa"/>
          </w:tcPr>
          <w:p w:rsidR="003348AC" w:rsidRDefault="003348AC" w:rsidP="003348AC">
            <w:r>
              <w:t>3.00-3.20</w:t>
            </w:r>
          </w:p>
        </w:tc>
        <w:tc>
          <w:tcPr>
            <w:tcW w:w="13324" w:type="dxa"/>
            <w:gridSpan w:val="6"/>
          </w:tcPr>
          <w:p w:rsidR="003348AC" w:rsidRPr="003348AC" w:rsidRDefault="003348AC" w:rsidP="003348AC">
            <w:pPr>
              <w:rPr>
                <w:b/>
              </w:rPr>
            </w:pPr>
            <w:r w:rsidRPr="003348AC">
              <w:rPr>
                <w:b/>
              </w:rPr>
              <w:t>COFFEE BREAK</w:t>
            </w:r>
          </w:p>
        </w:tc>
      </w:tr>
      <w:tr w:rsidR="003348AC" w:rsidTr="00471B1C">
        <w:trPr>
          <w:trHeight w:val="1587"/>
        </w:trPr>
        <w:tc>
          <w:tcPr>
            <w:tcW w:w="1413" w:type="dxa"/>
          </w:tcPr>
          <w:p w:rsidR="00471B1C" w:rsidRPr="003348AC" w:rsidRDefault="00471B1C" w:rsidP="00471B1C">
            <w:pPr>
              <w:rPr>
                <w:b/>
              </w:rPr>
            </w:pPr>
            <w:r w:rsidRPr="003348AC">
              <w:rPr>
                <w:b/>
              </w:rPr>
              <w:t xml:space="preserve">Session </w:t>
            </w:r>
            <w:r>
              <w:rPr>
                <w:b/>
              </w:rPr>
              <w:t>7</w:t>
            </w:r>
          </w:p>
          <w:p w:rsidR="003348AC" w:rsidRDefault="003348AC" w:rsidP="003348AC">
            <w:r>
              <w:t>3.25-3.55</w:t>
            </w:r>
          </w:p>
        </w:tc>
        <w:tc>
          <w:tcPr>
            <w:tcW w:w="4914" w:type="dxa"/>
            <w:gridSpan w:val="2"/>
          </w:tcPr>
          <w:p w:rsidR="003348AC" w:rsidRDefault="003348AC" w:rsidP="003348AC">
            <w:r>
              <w:t>Courtenay, Kent</w:t>
            </w:r>
          </w:p>
          <w:p w:rsidR="003348AC" w:rsidRPr="00667AB4" w:rsidRDefault="003348AC" w:rsidP="003348AC">
            <w:pPr>
              <w:rPr>
                <w:i/>
              </w:rPr>
            </w:pPr>
            <w:r w:rsidRPr="00667AB4">
              <w:rPr>
                <w:i/>
              </w:rPr>
              <w:t>Adapting the IFP to provide a ‘safe space’ for students to adjust to UK HE culture &amp; systems through student support and QA procedures</w:t>
            </w:r>
          </w:p>
        </w:tc>
        <w:tc>
          <w:tcPr>
            <w:tcW w:w="4205" w:type="dxa"/>
            <w:gridSpan w:val="2"/>
          </w:tcPr>
          <w:p w:rsidR="003348AC" w:rsidRPr="007A6929" w:rsidRDefault="003348AC" w:rsidP="003348AC">
            <w:proofErr w:type="spellStart"/>
            <w:r w:rsidRPr="007A6929">
              <w:t>Shiel</w:t>
            </w:r>
            <w:proofErr w:type="spellEnd"/>
            <w:r w:rsidRPr="007A6929">
              <w:t>, Leeds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Setting up a transnational collaboration - challenges and opportunities for greater communic</w:t>
            </w:r>
            <w:r>
              <w:rPr>
                <w:i/>
              </w:rPr>
              <w:t>ation across different cultures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pPr>
              <w:rPr>
                <w:sz w:val="24"/>
                <w:szCs w:val="23"/>
              </w:rPr>
            </w:pPr>
            <w:r>
              <w:t>Gee,</w:t>
            </w:r>
            <w:r w:rsidRPr="00407550">
              <w:rPr>
                <w:sz w:val="24"/>
              </w:rPr>
              <w:t xml:space="preserve"> </w:t>
            </w:r>
            <w:proofErr w:type="spellStart"/>
            <w:r w:rsidRPr="00407550">
              <w:rPr>
                <w:sz w:val="24"/>
                <w:szCs w:val="23"/>
              </w:rPr>
              <w:t>Lazarski</w:t>
            </w:r>
            <w:proofErr w:type="spellEnd"/>
          </w:p>
          <w:p w:rsidR="003348AC" w:rsidRPr="00407550" w:rsidRDefault="003348AC" w:rsidP="003348AC">
            <w:pPr>
              <w:rPr>
                <w:i/>
              </w:rPr>
            </w:pPr>
            <w:r w:rsidRPr="00407550">
              <w:rPr>
                <w:i/>
              </w:rPr>
              <w:t>Using language analysis to develop student critical understanding of the cultural norm in undergraduate International Relations course books</w:t>
            </w:r>
          </w:p>
        </w:tc>
      </w:tr>
      <w:tr w:rsidR="003348AC" w:rsidTr="00471B1C">
        <w:trPr>
          <w:trHeight w:val="1304"/>
        </w:trPr>
        <w:tc>
          <w:tcPr>
            <w:tcW w:w="1413" w:type="dxa"/>
          </w:tcPr>
          <w:p w:rsidR="00471B1C" w:rsidRPr="003348AC" w:rsidRDefault="00471B1C" w:rsidP="00471B1C">
            <w:pPr>
              <w:rPr>
                <w:b/>
              </w:rPr>
            </w:pPr>
            <w:r w:rsidRPr="003348AC">
              <w:rPr>
                <w:b/>
              </w:rPr>
              <w:t xml:space="preserve">Session </w:t>
            </w:r>
            <w:r>
              <w:rPr>
                <w:b/>
              </w:rPr>
              <w:t>8</w:t>
            </w:r>
          </w:p>
          <w:p w:rsidR="003348AC" w:rsidRDefault="003348AC" w:rsidP="003348AC">
            <w:r>
              <w:t>4.00-4.25</w:t>
            </w:r>
          </w:p>
        </w:tc>
        <w:tc>
          <w:tcPr>
            <w:tcW w:w="4914" w:type="dxa"/>
            <w:gridSpan w:val="2"/>
          </w:tcPr>
          <w:p w:rsidR="003348AC" w:rsidRDefault="003348AC" w:rsidP="003348AC">
            <w:proofErr w:type="spellStart"/>
            <w:r>
              <w:t>Prehous</w:t>
            </w:r>
            <w:proofErr w:type="spellEnd"/>
            <w:r>
              <w:t>, Coventry</w:t>
            </w:r>
          </w:p>
          <w:p w:rsidR="003348AC" w:rsidRPr="00667AB4" w:rsidRDefault="003348AC" w:rsidP="003348AC">
            <w:pPr>
              <w:rPr>
                <w:i/>
              </w:rPr>
            </w:pPr>
            <w:r w:rsidRPr="00667AB4">
              <w:rPr>
                <w:i/>
              </w:rPr>
              <w:t>The Global Product Pitch: raising intercultural awareness in the EAP classroom and beyond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r>
              <w:t>Butt-Bethlendy, NTU</w:t>
            </w:r>
          </w:p>
          <w:p w:rsidR="003348AC" w:rsidRPr="007A6929" w:rsidRDefault="003348AC" w:rsidP="003348AC">
            <w:pPr>
              <w:rPr>
                <w:i/>
              </w:rPr>
            </w:pPr>
            <w:r w:rsidRPr="007A6929">
              <w:rPr>
                <w:i/>
              </w:rPr>
              <w:t>Developing a knowledge and skills framework for teaching staff involved in transnational collaborative partnerships</w:t>
            </w:r>
          </w:p>
        </w:tc>
        <w:tc>
          <w:tcPr>
            <w:tcW w:w="4205" w:type="dxa"/>
            <w:gridSpan w:val="2"/>
          </w:tcPr>
          <w:p w:rsidR="003348AC" w:rsidRDefault="003348AC" w:rsidP="003348AC">
            <w:proofErr w:type="spellStart"/>
            <w:r>
              <w:t>Daulah</w:t>
            </w:r>
            <w:proofErr w:type="spellEnd"/>
            <w:r>
              <w:t xml:space="preserve">, </w:t>
            </w:r>
            <w:r w:rsidRPr="00667AB4">
              <w:t>North South Univ. Bangladesh</w:t>
            </w:r>
          </w:p>
          <w:p w:rsidR="003348AC" w:rsidRPr="00667AB4" w:rsidRDefault="003348AC" w:rsidP="003348AC">
            <w:pPr>
              <w:rPr>
                <w:i/>
              </w:rPr>
            </w:pPr>
            <w:r w:rsidRPr="00667AB4">
              <w:rPr>
                <w:i/>
              </w:rPr>
              <w:t>Developing culture specific material for Bangladeshi university students</w:t>
            </w:r>
          </w:p>
        </w:tc>
      </w:tr>
      <w:tr w:rsidR="003348AC" w:rsidTr="00471B1C">
        <w:trPr>
          <w:trHeight w:val="397"/>
        </w:trPr>
        <w:tc>
          <w:tcPr>
            <w:tcW w:w="1413" w:type="dxa"/>
            <w:vAlign w:val="center"/>
          </w:tcPr>
          <w:p w:rsidR="003348AC" w:rsidRDefault="003348AC" w:rsidP="00471B1C">
            <w:r>
              <w:t>4.30-4.50</w:t>
            </w:r>
          </w:p>
        </w:tc>
        <w:tc>
          <w:tcPr>
            <w:tcW w:w="13324" w:type="dxa"/>
            <w:gridSpan w:val="6"/>
          </w:tcPr>
          <w:p w:rsidR="003348AC" w:rsidRDefault="003348AC" w:rsidP="003348AC">
            <w:r w:rsidRPr="003348AC">
              <w:rPr>
                <w:b/>
              </w:rPr>
              <w:t>Closing discussion</w:t>
            </w:r>
            <w:r>
              <w:t xml:space="preserve"> (Prof. Adrian Holliday, Donna Humphrey, TBC)</w:t>
            </w:r>
          </w:p>
        </w:tc>
      </w:tr>
      <w:tr w:rsidR="003348AC" w:rsidTr="00471B1C">
        <w:trPr>
          <w:trHeight w:val="397"/>
        </w:trPr>
        <w:tc>
          <w:tcPr>
            <w:tcW w:w="1413" w:type="dxa"/>
            <w:vAlign w:val="center"/>
          </w:tcPr>
          <w:p w:rsidR="003348AC" w:rsidRDefault="003348AC" w:rsidP="00471B1C">
            <w:r>
              <w:t>4.50-5.00</w:t>
            </w:r>
          </w:p>
        </w:tc>
        <w:tc>
          <w:tcPr>
            <w:tcW w:w="13324" w:type="dxa"/>
            <w:gridSpan w:val="6"/>
            <w:vAlign w:val="center"/>
          </w:tcPr>
          <w:p w:rsidR="003348AC" w:rsidRPr="003348AC" w:rsidRDefault="003348AC" w:rsidP="00471B1C">
            <w:pPr>
              <w:rPr>
                <w:b/>
              </w:rPr>
            </w:pPr>
            <w:r w:rsidRPr="003348AC">
              <w:rPr>
                <w:b/>
              </w:rPr>
              <w:t>Closing</w:t>
            </w:r>
          </w:p>
        </w:tc>
      </w:tr>
    </w:tbl>
    <w:p w:rsidR="00965FC0" w:rsidRDefault="00965FC0"/>
    <w:sectPr w:rsidR="00965FC0" w:rsidSect="00471B1C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53"/>
    <w:rsid w:val="003348AC"/>
    <w:rsid w:val="00407550"/>
    <w:rsid w:val="00471B1C"/>
    <w:rsid w:val="004B2C53"/>
    <w:rsid w:val="00667AB4"/>
    <w:rsid w:val="006771E5"/>
    <w:rsid w:val="007A6929"/>
    <w:rsid w:val="00965FC0"/>
    <w:rsid w:val="00BF29EC"/>
    <w:rsid w:val="00CB11B8"/>
    <w:rsid w:val="00D06B50"/>
    <w:rsid w:val="00F65BB8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D301"/>
  <w15:chartTrackingRefBased/>
  <w15:docId w15:val="{A8D816D6-5DEF-419D-A8C7-02E5970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Barclay, Samuel</dc:creator>
  <cp:keywords/>
  <dc:description/>
  <cp:lastModifiedBy>Sam Barclay</cp:lastModifiedBy>
  <cp:revision>4</cp:revision>
  <dcterms:created xsi:type="dcterms:W3CDTF">2017-10-15T04:53:00Z</dcterms:created>
  <dcterms:modified xsi:type="dcterms:W3CDTF">2017-10-19T01:31:00Z</dcterms:modified>
</cp:coreProperties>
</file>